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ink/ink1.xml" ContentType="application/inkml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DA512D3">
      <w:pPr>
        <w:jc w:val="center"/>
        <w:rPr>
          <w:rFonts w:hint="eastAsia" w:ascii="宋体" w:hAnsi="宋体" w:eastAsia="宋体"/>
          <w:b/>
          <w:color w:val="auto"/>
          <w:sz w:val="44"/>
          <w:szCs w:val="44"/>
        </w:rPr>
      </w:pPr>
      <w:r>
        <w:rPr>
          <w:rFonts w:hint="eastAsia" w:ascii="宋体" w:hAnsi="宋体" w:eastAsia="宋体"/>
          <w:b/>
          <w:color w:val="auto"/>
          <w:sz w:val="44"/>
          <w:szCs w:val="44"/>
        </w:rPr>
        <w:t>《</w:t>
      </w:r>
      <w:r>
        <w:rPr>
          <w:rFonts w:hint="eastAsia" w:ascii="宋体" w:hAnsi="宋体" w:eastAsia="宋体"/>
          <w:b/>
          <w:color w:val="auto"/>
          <w:sz w:val="44"/>
          <w:szCs w:val="44"/>
          <w:lang w:val="en-US" w:eastAsia="zh-CN"/>
        </w:rPr>
        <w:t>卧龙区青华镇36MV分散式风电项目控制性详细规划</w:t>
      </w:r>
      <w:r>
        <w:rPr>
          <w:rFonts w:hint="eastAsia" w:ascii="宋体" w:hAnsi="宋体" w:eastAsia="宋体"/>
          <w:b/>
          <w:color w:val="auto"/>
          <w:sz w:val="44"/>
          <w:szCs w:val="44"/>
        </w:rPr>
        <w:t>》</w:t>
      </w:r>
    </w:p>
    <w:p w14:paraId="63B4A0C3">
      <w:pPr>
        <w:jc w:val="center"/>
        <w:rPr>
          <w:rFonts w:ascii="宋体" w:hAnsi="宋体" w:eastAsia="宋体"/>
          <w:b/>
          <w:color w:val="auto"/>
          <w:sz w:val="44"/>
          <w:szCs w:val="44"/>
        </w:rPr>
      </w:pPr>
      <w:r>
        <w:rPr>
          <w:rFonts w:hint="eastAsia" w:ascii="宋体" w:hAnsi="宋体" w:eastAsia="宋体"/>
          <w:b/>
          <w:color w:val="auto"/>
          <w:sz w:val="44"/>
          <w:szCs w:val="44"/>
        </w:rPr>
        <w:t>公示方案</w:t>
      </w:r>
    </w:p>
    <w:p w14:paraId="1095BF86">
      <w:pPr>
        <w:jc w:val="center"/>
        <w:rPr>
          <w:b/>
          <w:color w:val="auto"/>
          <w:sz w:val="44"/>
          <w:szCs w:val="44"/>
        </w:rPr>
      </w:pPr>
    </w:p>
    <w:p w14:paraId="6F0F6E01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为进一步完善规划体系，科学指导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卧龙区青华镇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建设，我局</w:t>
      </w:r>
      <w:r>
        <w:rPr>
          <w:rFonts w:hint="eastAsia" w:ascii="仿宋" w:hAnsi="仿宋" w:eastAsia="仿宋" w:cs="仿宋"/>
          <w:color w:val="auto"/>
          <w:sz w:val="32"/>
          <w:szCs w:val="32"/>
          <w:lang w:eastAsia="zh-CN"/>
        </w:rPr>
        <w:t>组织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编制了《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卧龙区青华镇36MV分散式风电项目控制性详细规划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》。根据《城乡规划法》有关规定，为提高规划的科学性和合理性，现将规划草案予以公示，请广大市民提出宝贵意见。</w:t>
      </w:r>
    </w:p>
    <w:p w14:paraId="34D021F2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一、公示时间</w:t>
      </w:r>
    </w:p>
    <w:p w14:paraId="1C1BB20C">
      <w:pPr>
        <w:snapToGrid w:val="0"/>
        <w:spacing w:line="620" w:lineRule="exact"/>
        <w:ind w:firstLine="640"/>
        <w:textAlignment w:val="baseline"/>
        <w:rPr>
          <w:rFonts w:hint="eastAsia"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9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15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日—2025年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10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15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日</w:t>
      </w:r>
      <w:bookmarkStart w:id="0" w:name="_GoBack"/>
      <w:bookmarkEnd w:id="0"/>
    </w:p>
    <w:p w14:paraId="7D0818A6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二、公示方式和地点</w:t>
      </w:r>
    </w:p>
    <w:p w14:paraId="72ADDD46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网上公示：</w:t>
      </w:r>
      <w:r>
        <w:rPr>
          <w:color w:val="auto"/>
        </w:rPr>
        <w:fldChar w:fldCharType="begin"/>
      </w:r>
      <w:r>
        <w:rPr>
          <w:color w:val="auto"/>
        </w:rPr>
        <w:instrText xml:space="preserve"> HYPERLINK "http://nygtzy.nanyang.gov.cn/" </w:instrText>
      </w:r>
      <w:r>
        <w:rPr>
          <w:color w:val="auto"/>
        </w:rPr>
        <w:fldChar w:fldCharType="separate"/>
      </w:r>
      <w:r>
        <w:rPr>
          <w:rFonts w:hint="eastAsia" w:ascii="仿宋" w:hAnsi="仿宋" w:eastAsia="仿宋" w:cs="仿宋"/>
          <w:color w:val="auto"/>
          <w:sz w:val="32"/>
          <w:szCs w:val="32"/>
        </w:rPr>
        <w:t>http://nygtzy.nanyang.gov.cn/</w:t>
      </w:r>
      <w:r>
        <w:rPr>
          <w:rFonts w:hint="eastAsia" w:ascii="仿宋" w:hAnsi="仿宋" w:eastAsia="仿宋" w:cs="仿宋"/>
          <w:color w:val="auto"/>
          <w:sz w:val="32"/>
          <w:szCs w:val="32"/>
        </w:rPr>
        <w:fldChar w:fldCharType="end"/>
      </w:r>
      <w:r>
        <w:rPr>
          <w:rFonts w:hint="eastAsia" w:ascii="仿宋" w:hAnsi="仿宋" w:eastAsia="仿宋" w:cs="仿宋"/>
          <w:color w:val="auto"/>
          <w:sz w:val="32"/>
          <w:szCs w:val="32"/>
        </w:rPr>
        <w:t>(市自然资源和规划局官网)</w:t>
      </w:r>
    </w:p>
    <w:p w14:paraId="539B2D20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三、公示意见反馈方式</w:t>
      </w:r>
    </w:p>
    <w:p w14:paraId="1966D23E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（一）电话反馈至市自然资源和规划局，联系电话：0377-63190907。</w:t>
      </w:r>
    </w:p>
    <w:p w14:paraId="196174A0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（二）邮件反馈。发送邮件至市自然资源和规划局邮箱nysghjfzk@163.com，请注明“规划公示意见”字样，并留下相应联系方式。</w:t>
      </w:r>
    </w:p>
    <w:p w14:paraId="5D851177">
      <w:pPr>
        <w:snapToGrid w:val="0"/>
        <w:spacing w:line="620" w:lineRule="exact"/>
        <w:ind w:firstLine="640"/>
        <w:textAlignment w:val="baseline"/>
        <w:rPr>
          <w:rFonts w:ascii="黑体" w:hAnsi="黑体" w:eastAsia="黑体" w:cs="黑体"/>
          <w:b/>
          <w:bCs/>
          <w:color w:val="auto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auto"/>
          <w:sz w:val="32"/>
          <w:szCs w:val="32"/>
        </w:rPr>
        <w:t>四、公示主要内容</w:t>
      </w:r>
    </w:p>
    <w:p w14:paraId="7E69692A">
      <w:pPr>
        <w:ind w:firstLine="640" w:firstLineChars="200"/>
        <w:rPr>
          <w:rFonts w:ascii="微软雅黑" w:hAnsi="微软雅黑"/>
          <w:b/>
          <w:bCs/>
          <w:color w:val="auto"/>
          <w:sz w:val="28"/>
          <w:szCs w:val="28"/>
          <w:shd w:val="clear" w:color="auto" w:fill="FFFFFF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（一）</w:t>
      </w:r>
      <w:r>
        <w:rPr>
          <w:rFonts w:hint="eastAsia" w:ascii="微软雅黑" w:hAnsi="微软雅黑"/>
          <w:b/>
          <w:bCs/>
          <w:color w:val="auto"/>
          <w:sz w:val="28"/>
          <w:szCs w:val="28"/>
          <w:shd w:val="clear" w:color="auto" w:fill="FFFFFF"/>
        </w:rPr>
        <w:t>规划简介</w:t>
      </w:r>
    </w:p>
    <w:p w14:paraId="0A4BF73A">
      <w:pPr>
        <w:snapToGrid w:val="0"/>
        <w:spacing w:line="620" w:lineRule="exact"/>
        <w:ind w:firstLine="640"/>
        <w:textAlignment w:val="baseline"/>
        <w:rPr>
          <w:rFonts w:ascii="仿宋" w:hAnsi="仿宋" w:eastAsia="仿宋" w:cs="仿宋"/>
          <w:color w:val="auto"/>
          <w:sz w:val="32"/>
          <w:szCs w:val="32"/>
        </w:rPr>
      </w:pPr>
      <w:r>
        <w:rPr>
          <w:rFonts w:hint="eastAsia" w:ascii="仿宋" w:hAnsi="仿宋" w:eastAsia="仿宋" w:cs="仿宋"/>
          <w:color w:val="auto"/>
          <w:sz w:val="32"/>
          <w:szCs w:val="32"/>
        </w:rPr>
        <w:t>规划区域位于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卧龙区青华镇范围内，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规划总用地面积为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8316.38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㎡（约合</w:t>
      </w:r>
      <w:r>
        <w:rPr>
          <w:rFonts w:hint="eastAsia" w:ascii="仿宋" w:hAnsi="仿宋" w:eastAsia="仿宋" w:cs="仿宋"/>
          <w:color w:val="auto"/>
          <w:sz w:val="32"/>
          <w:szCs w:val="32"/>
          <w:lang w:val="en-US" w:eastAsia="zh-CN"/>
        </w:rPr>
        <w:t>12.475</w:t>
      </w:r>
      <w:r>
        <w:rPr>
          <w:rFonts w:hint="eastAsia" w:ascii="仿宋" w:hAnsi="仿宋" w:eastAsia="仿宋" w:cs="仿宋"/>
          <w:color w:val="auto"/>
          <w:sz w:val="32"/>
          <w:szCs w:val="32"/>
        </w:rPr>
        <w:t>亩）。规划方案充分落实上位规划和相关规范要求，能够满足用地使用需求，为该区域建设活动提供依据和遵循。</w:t>
      </w:r>
    </w:p>
    <w:p w14:paraId="2DFAD2C2">
      <w:pPr>
        <w:ind w:firstLine="640" w:firstLineChars="200"/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仿宋" w:hAnsi="仿宋" w:eastAsia="仿宋" w:cs="仿宋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（二）</w: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规划主要图纸</w:t>
      </w:r>
    </w:p>
    <w:p w14:paraId="4EB5E08C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1.区位图</w:t>
      </w:r>
    </w:p>
    <w:p w14:paraId="7A393792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5" name="图片 5" descr="E:/2025年工作盘/250625青化升压站控规/新青华升压站/公示/01区位图01.jpg01区位图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E:/2025年工作盘/250625青化升压站控规/新青华升压站/公示/01区位图01.jpg01区位图01"/>
                    <pic:cNvPicPr>
                      <a:picLocks noChangeAspect="1"/>
                    </pic:cNvPicPr>
                  </pic:nvPicPr>
                  <pic:blipFill>
                    <a:blip r:embed="rId4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0826A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30A0A5CE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2B97EDB4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4F9ED88F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50A2E2D9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61F1CBDD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60359277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7E163A83">
      <w:pPr>
        <w:numPr>
          <w:ilvl w:val="0"/>
          <w:numId w:val="1"/>
        </w:num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sz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14694535</wp:posOffset>
                </wp:positionH>
                <wp:positionV relativeFrom="paragraph">
                  <wp:posOffset>-208280</wp:posOffset>
                </wp:positionV>
                <wp:extent cx="635" cy="635"/>
                <wp:effectExtent l="0" t="0" r="0" b="0"/>
                <wp:wrapNone/>
                <wp:docPr id="49" name="墨迹 49"/>
                <wp:cNvGraphicFramePr/>
                <a:graphic xmlns:a="http://schemas.openxmlformats.org/drawingml/2006/main">
                  <a:graphicData uri="http://schemas.microsoft.com/office/word/2010/wordprocessingInk">
                    <mc:AlternateContent xmlns:a14="http://schemas.microsoft.com/office/drawing/2010/main">
                      <mc:Choice Requires="a14">
                        <w14:contentPart bwMode="clr" r:id="rId5">
                          <w14:nvContentPartPr>
                            <w14:cNvPr id="49" name="墨迹 49"/>
                            <w14:cNvContentPartPr/>
                          </w14:nvContentPartPr>
                          <w14:xfrm>
                            <a:off x="15837535" y="706120"/>
                            <a:ext cx="635" cy="635"/>
                          </w14:xfrm>
                        </w14:contentPart>
                      </mc:Choice>
                    </mc:AlternateContent>
                  </a:graphicData>
                </a:graphic>
              </wp:anchor>
            </w:drawing>
          </mc:Choice>
          <mc:Fallback>
            <w:pict>
              <v:shape id="_x0000_s1026" o:spid="_x0000_s1026" o:spt="75" style="position:absolute;left:0pt;margin-left:1157.05pt;margin-top:-16.4pt;height:0.05pt;width:0.05pt;z-index:251659264;mso-width-relative:page;mso-height-relative:page;" coordsize="21600,21600" o:gfxdata="UEsDBAoAAAAAAIdO4kAAAAAAAAAAAAAAAAAEAAAAZHJzL1BLAwQUAAAACACHTuJAeoSXGNcAAAAN&#10;AQAADwAAAGRycy9kb3ducmV2LnhtbE2PPU/DMBCGdyT+g3VIbK3jBBUU4nQAIbIhWmB246sdEZ+t&#10;2G3Tf4/LAuO99+j9aNazG9kRpzh4kiCWBTCk3uuBjISP7cviAVhMirQaPaGEM0ZYt9dXjaq1P9E7&#10;HjfJsGxCsVYSbEqh5jz2Fp2KSx+Q8m/vJ6dSPifD9aRO2dyNvCyKFXdqoJxgVcAni/335uAkvM3n&#10;570ROHR29dUJ8xo+uypIeXsjikdgCef0B8Olfq4Obe608wfSkY0SykrcicxKWFRlHpGRi1QC2/1K&#10;98Dbhv9f0f4AUEsDBBQAAAAIAIdO4kCim9p2jQEAAHgDAAAOAAAAZHJzL2Uyb0RvYy54bWytU0lO&#10;wzAU3SNxB8t7mqQzUdMuqJC6oHQBBzCO3VjEdvTtNu11WHEFVpwGiWPwk7Z0QEgVYmPZftb7b0gG&#10;o5XOyVKAU9YkNGqElAjDbarMPKGPD7dXfUqcZyZluTUioWvh6Gh4eTEoi1g0bWbzVABBEuPiskho&#10;5n0RB4HjmdDMNWwhDILSgmYejzAPUmAlsus8aIZhNygtpAVYLpzD2/EGpFtGOIfQSqm4GFu+0ML4&#10;DSuInHm05DJVODqs1UopuL+X0glP8oSiU1+vOAT3T9UaDAcsngMrMsW3Etg5Ek48aaYMDv2mGjPP&#10;yALUDyqtOFhnpW9wq4ONkToRdBGFJ9lMzHPlJGrzBcTcGo9uZwz8Lv0a+MsInaP98s6m2C/P4Z/D&#10;JxCrNKEwSaO9fLO82RuYwd7WdDkDUr1vX1NimEZJHy+vn+9vBC+wnp396TEBIsEW+o16JUFXnWDK&#10;ZIWfeqff6nVaHUrWCe2F3ai5rV+sPOH4oFthHMFqc8C/4dlNO+gBJRw1fniu5B38MMMvUEsDBAoA&#10;AAAAAIdO4kAAAAAAAAAAAAAAAAAIAAAAZHJzL2luay9QSwMEFAAAAAgAh07iQBwrQ7zaAQAAwQQA&#10;ABAAAABkcnMvaW5rL2luazEueG1stVPBbqMwEL2v1H+w3HPAGEIAlfQWaaVdqdq20u6RggNWwY5s&#10;E5K/38EQp1XpYaXtBZmx35uZN2/u7k9di45MaS5FjgOPYMREKSsu6hw/P+1WCUbaFKIqWilYjs9M&#10;4/vtzbc7Ll67NoMvAgahx1PX5rgx5pD5/jAM3hB6UtU+JST0v4vXnz/wdkZVbM8FN5BSX0KlFIad&#10;zEiW8SrHpTkR9x64H2WvSuaux4gqry+MKkq2k6orjGNsCiFYi0TRQd2/MTLnAxw45KmZwqiHCjQk&#10;6rC/DPnz75DdB0hXnEBWQkOXsGLHMaNvBcs+L/xByQNThrOrRlNH88UZldO/bW7qUjEt234UFqNj&#10;0fbQL028MIqjdRynNA3CyNUR+Autf+QGFb6MG+T6lBuMOE8o8N9LNrf9Vp9ZTOeTy0AN7xi4tzs4&#10;4xgNxGP40SjrcUroekXSVRA8kTQLSRbSN+OZbXnhe1G9bhzXi7oa0N449aauBl6Zxg2CeGQNE0gj&#10;mAUlcURhsxY8uETUMF435n8wlbKV4P3ZG7f7hMSEXBdgKTmvhVTsAayle8Uc1qJm3S3MWXphu63L&#10;0SzmL7bP8a1dcGSRU8CqSZMo3HiEEBQk6yC2p028ebctLhGMe/sX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HkYvJ24AAAAIQEAABkAAABkcnMv&#10;X3JlbHMvZTJvRG9jLnhtbC5yZWxzhc+xasQwDAbgvdB3MNobJR3KUeJkOQ6ylhRuNY6SmMSysZzS&#10;e/t67MHBDRqE0PdLbf/rd/VDSVxgDU1VgyK2YXK8aPgeL28nUJINT2YPTBpuJNB3ry/tF+0mlyVZ&#10;XRRVFBYNa87xE1HsSt5IFSJxmcwheZNLmxaMxm5mIXyv6w9M/w3o7kw1TBrSMDWgxlssyc/tMM/O&#10;0jnYwxPnBxFoD8nBX/1eUJMWyhocb1iqqcqhgF2Ld491f1BLAwQUAAAACACHTuJAAxUp2gUBAAAt&#10;AgAAEwAAAFtDb250ZW50X1R5cGVzXS54bWyVkcFOwzAQRO9I/IPlK0qc9oAQatIDKUdAqHyAZW8S&#10;q/ba8prQ/j1O2l4QpeLgg70zb0br1XrvLBshkvFY80VZcQaovDbY1/xj+1w8cEZJopbWI9T8AMTX&#10;ze3NansIQCy7kWo+pBQehSA1gJNU+gCYJ52PTqZ8jb0IUu1kD2JZVfdCeUyAqUgTgzerFjr5aRPb&#10;7PPzsUkES5w9HYVTVs1lCNYomXJTMaL+kVKcEsrsnDU0mEB3uQYXvyZMk8sBJ99rXk00GtibjOlF&#10;ulxD6EhC+y+MMJZ/Q6aWjgrfdUZB2UZqs+0dxnOrS3RY+tar/8I3s+sa2+BO5LO4Qs8SZ88sMX92&#10;8w1QSwECFAAUAAAACACHTuJAAxUp2gUBAAAtAgAAEwAAAAAAAAABACAAAABCBwAAW0NvbnRlbnRf&#10;VHlwZXNdLnhtbFBLAQIUAAoAAAAAAIdO4kAAAAAAAAAAAAAAAAAGAAAAAAAAAAAAEAAAAA0FAABf&#10;cmVscy9QSwECFAAUAAAACACHTuJAihRmPNEAAACUAQAACwAAAAAAAAABACAAAAAxBQAAX3JlbHMv&#10;LnJlbHNQSwECFAAKAAAAAACHTuJAAAAAAAAAAAAAAAAABAAAAAAAAAAAABAAAAAAAAAAZHJzL1BL&#10;AQIUAAoAAAAAAIdO4kAAAAAAAAAAAAAAAAAKAAAAAAAAAAAAEAAAACsGAABkcnMvX3JlbHMvUEsB&#10;AhQAFAAAAAgAh07iQHkYvJ24AAAAIQEAABkAAAAAAAAAAQAgAAAAUwYAAGRycy9fcmVscy9lMm9E&#10;b2MueG1sLnJlbHNQSwECFAAUAAAACACHTuJAeoSXGNcAAAANAQAADwAAAAAAAAABACAAAAAiAAAA&#10;ZHJzL2Rvd25yZXYueG1sUEsBAhQAFAAAAAgAh07iQKKb2naNAQAAeAMAAA4AAAAAAAAAAQAgAAAA&#10;JgEAAGRycy9lMm9Eb2MueG1sUEsBAhQACgAAAAAAh07iQAAAAAAAAAAAAAAAAAgAAAAAAAAAAAAQ&#10;AAAA3wIAAGRycy9pbmsvUEsBAhQAFAAAAAgAh07iQBwrQ7zaAQAAwQQAABAAAAAAAAAAAQAgAAAA&#10;BQMAAGRycy9pbmsvaW5rMS54bWxQSwUGAAAAAAoACgBMAgAAeAgAAAAA&#10;">
                <v:imagedata r:id="rId6" o:title=""/>
                <o:lock v:ext="edit"/>
              </v:shape>
            </w:pict>
          </mc:Fallback>
        </mc:AlternateContent>
      </w: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用地现状图</w:t>
      </w:r>
    </w:p>
    <w:p w14:paraId="74FAFAC2">
      <w:pP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6" name="图片 6" descr="E:/2025年工作盘/250625青化升压站控规/新青华升压站/公示/06-1C01风电机位现状图01.jpg06-1C01风电机位现状图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E:/2025年工作盘/250625青化升压站控规/新青华升压站/公示/06-1C01风电机位现状图01.jpg06-1C01风电机位现状图01"/>
                    <pic:cNvPicPr>
                      <a:picLocks noChangeAspect="1"/>
                    </pic:cNvPicPr>
                  </pic:nvPicPr>
                  <pic:blipFill>
                    <a:blip r:embed="rId7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17" name="图片 17" descr="E:/2025年工作盘/250625青化升压站控规/新青华升压站/PDF/06现状pdf/06-10升压站现状01.jpg06-10升压站现状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E:/2025年工作盘/250625青化升压站控规/新青华升压站/PDF/06现状pdf/06-10升压站现状01.jpg06-10升压站现状01"/>
                    <pic:cNvPicPr>
                      <a:picLocks noChangeAspect="1"/>
                    </pic:cNvPicPr>
                  </pic:nvPicPr>
                  <pic:blipFill>
                    <a:blip r:embed="rId8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30F2C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4A2C2324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0B42CA96">
      <w:pPr>
        <w:numPr>
          <w:ilvl w:val="0"/>
          <w:numId w:val="1"/>
        </w:numPr>
        <w:ind w:left="0" w:leftChars="0" w:firstLine="0" w:firstLineChars="0"/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用地规划图</w:t>
      </w:r>
    </w:p>
    <w:p w14:paraId="0E51DD65">
      <w:pPr>
        <w:numPr>
          <w:ilvl w:val="0"/>
          <w:numId w:val="0"/>
        </w:numPr>
        <w:ind w:leftChars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7" name="图片 7" descr="E:/2025年工作盘/250625青化升压站控规/新青华升压站/PDF/06现状pdf/06-1C01风电机位现状图01.jpg06-1C01风电机位现状图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E:/2025年工作盘/250625青化升压站控规/新青华升压站/PDF/06现状pdf/06-1C01风电机位现状图01.jpg06-1C01风电机位现状图01"/>
                    <pic:cNvPicPr>
                      <a:picLocks noChangeAspect="1"/>
                    </pic:cNvPicPr>
                  </pic:nvPicPr>
                  <pic:blipFill>
                    <a:blip r:embed="rId9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27" name="图片 27" descr="E:/2025年工作盘/250625青化升压站控规/新青华升压站/PDF/06现状pdf/06-10升压站现状01.jpg06-10升压站现状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E:/2025年工作盘/250625青化升压站控规/新青华升压站/PDF/06现状pdf/06-10升压站现状01.jpg06-10升压站现状01"/>
                    <pic:cNvPicPr>
                      <a:picLocks noChangeAspect="1"/>
                    </pic:cNvPicPr>
                  </pic:nvPicPr>
                  <pic:blipFill>
                    <a:blip r:embed="rId10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92B34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3DE321BB">
      <w:pP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</w:p>
    <w:p w14:paraId="636B189E">
      <w:pPr>
        <w:rPr>
          <w:rFonts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/>
          <w:b/>
          <w:bCs/>
          <w:color w:val="000000" w:themeColor="text1"/>
          <w:sz w:val="28"/>
          <w:szCs w:val="28"/>
          <w:shd w:val="clear" w:color="auto" w:fill="FFFFFF"/>
          <w14:textFill>
            <w14:solidFill>
              <w14:schemeClr w14:val="tx1"/>
            </w14:solidFill>
          </w14:textFill>
        </w:rPr>
        <w:t>4.规划图则</w:t>
      </w:r>
    </w:p>
    <w:p w14:paraId="4352D36D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8" name="图片 8" descr="E:/2025年工作盘/250625青化升压站控规/新青华升压站/公示/图则公示jpg/10规划图则10-0101.jpg10规划图则10-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E:/2025年工作盘/250625青化升压站控规/新青华升压站/公示/图则公示jpg/10规划图则10-0101.jpg10规划图则10-0101"/>
                    <pic:cNvPicPr>
                      <a:picLocks noChangeAspect="1"/>
                    </pic:cNvPicPr>
                  </pic:nvPicPr>
                  <pic:blipFill>
                    <a:blip r:embed="rId11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B88FF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C989B3B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B348658">
      <w:pPr>
        <w:tabs>
          <w:tab w:val="left" w:pos="978"/>
        </w:tabs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1" name="图片 1" descr="E:/2025年工作盘/250625青化升压站控规/新青华升压站/公示/图则公示jpg/10规划图则10-0201.jpg10规划图则10-0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E:/2025年工作盘/250625青化升压站控规/新青华升压站/公示/图则公示jpg/10规划图则10-0201.jpg10规划图则10-0201"/>
                    <pic:cNvPicPr>
                      <a:picLocks noChangeAspect="1"/>
                    </pic:cNvPicPr>
                  </pic:nvPicPr>
                  <pic:blipFill>
                    <a:blip r:embed="rId12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795F9">
      <w:pPr>
        <w:bidi w:val="0"/>
        <w:rPr>
          <w:rFonts w:hint="eastAsia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p w14:paraId="16175E96">
      <w:pPr>
        <w:bidi w:val="0"/>
        <w:rPr>
          <w:rFonts w:hint="eastAsia"/>
          <w:lang w:val="en-US" w:eastAsia="zh-CN"/>
        </w:rPr>
      </w:pPr>
    </w:p>
    <w:p w14:paraId="333180E0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2" name="图片 2" descr="E:/2025年工作盘/250625青化升压站控规/新青华升压站/公示/图则公示jpg/10规划图则10-0301.jpg10规划图则10-0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E:/2025年工作盘/250625青化升压站控规/新青华升压站/公示/图则公示jpg/10规划图则10-0301.jpg10规划图则10-0301"/>
                    <pic:cNvPicPr>
                      <a:picLocks noChangeAspect="1"/>
                    </pic:cNvPicPr>
                  </pic:nvPicPr>
                  <pic:blipFill>
                    <a:blip r:embed="rId13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0996B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0AE58F8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8DB2C78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3" name="图片 3" descr="E:/2025年工作盘/250625青化升压站控规/新青华升压站/公示/图则公示jpg/10规划图则10-0401.jpg10规划图则10-0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E:/2025年工作盘/250625青化升压站控规/新青华升压站/公示/图则公示jpg/10规划图则10-0401.jpg10规划图则10-0401"/>
                    <pic:cNvPicPr>
                      <a:picLocks noChangeAspect="1"/>
                    </pic:cNvPicPr>
                  </pic:nvPicPr>
                  <pic:blipFill>
                    <a:blip r:embed="rId14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28" name="图片 28" descr="E:/2025年工作盘/250625青化升压站控规/新青华升压站/公示/图则公示jpg/10规划图则10-0501.jpg10规划图则10-0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E:/2025年工作盘/250625青化升压站控规/新青华升压站/公示/图则公示jpg/10规划图则10-0501.jpg10规划图则10-0501"/>
                    <pic:cNvPicPr>
                      <a:picLocks noChangeAspect="1"/>
                    </pic:cNvPicPr>
                  </pic:nvPicPr>
                  <pic:blipFill>
                    <a:blip r:embed="rId15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5D7B6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21D977C3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CFF928F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29" name="图片 29" descr="E:/2025年工作盘/250625青化升压站控规/新青华升压站/公示/图则公示jpg/10规划图则10-0601.jpg10规划图则10-0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E:/2025年工作盘/250625青化升压站控规/新青华升压站/公示/图则公示jpg/10规划图则10-0601.jpg10规划图则10-0601"/>
                    <pic:cNvPicPr>
                      <a:picLocks noChangeAspect="1"/>
                    </pic:cNvPicPr>
                  </pic:nvPicPr>
                  <pic:blipFill>
                    <a:blip r:embed="rId16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30" name="图片 30" descr="E:/2025年工作盘/250625青化升压站控规/新青华升压站/公示/图则公示jpg/10规划图则10-0701.jpg10规划图则10-0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E:/2025年工作盘/250625青化升压站控规/新青华升压站/公示/图则公示jpg/10规划图则10-0701.jpg10规划图则10-0701"/>
                    <pic:cNvPicPr>
                      <a:picLocks noChangeAspect="1"/>
                    </pic:cNvPicPr>
                  </pic:nvPicPr>
                  <pic:blipFill>
                    <a:blip r:embed="rId17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8622D1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1B41A914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718725FE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4" name="图片 4" descr="E:/2025年工作盘/250625青化升压站控规/新青华升压站/公示/图则公示jpg/10规划图则10-0801.jpg10规划图则10-0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E:/2025年工作盘/250625青化升压站控规/新青华升压站/公示/图则公示jpg/10规划图则10-0801.jpg10规划图则10-0801"/>
                    <pic:cNvPicPr>
                      <a:picLocks noChangeAspect="1"/>
                    </pic:cNvPicPr>
                  </pic:nvPicPr>
                  <pic:blipFill>
                    <a:blip r:embed="rId18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31" name="图片 31" descr="E:/2025年工作盘/250625青化升压站控规/新青华升压站/公示/图则公示jpg/10规划图则10-0901.jpg10规划图则10-0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E:/2025年工作盘/250625青化升压站控规/新青华升压站/公示/图则公示jpg/10规划图则10-0901.jpg10规划图则10-0901"/>
                    <pic:cNvPicPr>
                      <a:picLocks noChangeAspect="1"/>
                    </pic:cNvPicPr>
                  </pic:nvPicPr>
                  <pic:blipFill>
                    <a:blip r:embed="rId19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5CA8D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62198D9B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</w:pPr>
    </w:p>
    <w:p w14:paraId="0C89AF53">
      <w:pPr>
        <w:bidi w:val="0"/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Theme="minorEastAsia"/>
          <w:b/>
          <w:bCs/>
          <w:color w:val="000000" w:themeColor="text1"/>
          <w:sz w:val="28"/>
          <w:szCs w:val="28"/>
          <w:shd w:val="clear" w:color="auto" w:fill="FFFFFF"/>
          <w:lang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264150" cy="3724275"/>
            <wp:effectExtent l="0" t="0" r="12700" b="9525"/>
            <wp:docPr id="32" name="图片 32" descr="E:/2025年工作盘/250625青化升压站控规/新青华升压站/公示/图则公示jpg/10规划图则10-1001.jpg10规划图则10-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E:/2025年工作盘/250625青化升压站控规/新青华升压站/公示/图则公示jpg/10规划图则10-1001.jpg10规划图则10-1001"/>
                    <pic:cNvPicPr>
                      <a:picLocks noChangeAspect="1"/>
                    </pic:cNvPicPr>
                  </pic:nvPicPr>
                  <pic:blipFill>
                    <a:blip r:embed="rId20"/>
                    <a:srcRect l="26" r="2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7A81B">
      <w:pPr>
        <w:tabs>
          <w:tab w:val="left" w:pos="7490"/>
        </w:tabs>
        <w:bidi w:val="0"/>
        <w:jc w:val="left"/>
        <w:rPr>
          <w:rFonts w:hint="eastAsia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A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F514523"/>
    <w:multiLevelType w:val="singleLevel"/>
    <w:tmpl w:val="EF514523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isplayBackgroundShape w:val="1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M5YzU1ZmZkN2Q4ZThhMzQ4OWU5MmYxYjMxZGU2ZjIifQ=="/>
  </w:docVars>
  <w:rsids>
    <w:rsidRoot w:val="00172A27"/>
    <w:rsid w:val="0003062B"/>
    <w:rsid w:val="000C43C1"/>
    <w:rsid w:val="000E2F69"/>
    <w:rsid w:val="000F2F1A"/>
    <w:rsid w:val="00133668"/>
    <w:rsid w:val="00150A56"/>
    <w:rsid w:val="001660B3"/>
    <w:rsid w:val="00172A27"/>
    <w:rsid w:val="001A7136"/>
    <w:rsid w:val="001F16EC"/>
    <w:rsid w:val="0023736B"/>
    <w:rsid w:val="0028323F"/>
    <w:rsid w:val="002B668F"/>
    <w:rsid w:val="002B70F2"/>
    <w:rsid w:val="003B769B"/>
    <w:rsid w:val="003F46A6"/>
    <w:rsid w:val="004C48DE"/>
    <w:rsid w:val="0052750B"/>
    <w:rsid w:val="00586BAE"/>
    <w:rsid w:val="005917AC"/>
    <w:rsid w:val="00595AB7"/>
    <w:rsid w:val="005D4EBD"/>
    <w:rsid w:val="005F6EFA"/>
    <w:rsid w:val="006B2EAF"/>
    <w:rsid w:val="006B6249"/>
    <w:rsid w:val="006D627B"/>
    <w:rsid w:val="0072070C"/>
    <w:rsid w:val="00724D72"/>
    <w:rsid w:val="007629EF"/>
    <w:rsid w:val="007D6350"/>
    <w:rsid w:val="00815D20"/>
    <w:rsid w:val="00842FFA"/>
    <w:rsid w:val="00860C42"/>
    <w:rsid w:val="00884F5F"/>
    <w:rsid w:val="008A6DF1"/>
    <w:rsid w:val="008D073F"/>
    <w:rsid w:val="00940A61"/>
    <w:rsid w:val="00962C51"/>
    <w:rsid w:val="009D7F83"/>
    <w:rsid w:val="00AE170A"/>
    <w:rsid w:val="00AF3362"/>
    <w:rsid w:val="00B11AAD"/>
    <w:rsid w:val="00BD58F3"/>
    <w:rsid w:val="00BE107C"/>
    <w:rsid w:val="00BF4EDD"/>
    <w:rsid w:val="00C86D2C"/>
    <w:rsid w:val="00CB173C"/>
    <w:rsid w:val="00D6476E"/>
    <w:rsid w:val="00D84B29"/>
    <w:rsid w:val="00DE141C"/>
    <w:rsid w:val="00DF2EA9"/>
    <w:rsid w:val="00E02A18"/>
    <w:rsid w:val="00E116C3"/>
    <w:rsid w:val="00E418B5"/>
    <w:rsid w:val="00FE5E52"/>
    <w:rsid w:val="0254286C"/>
    <w:rsid w:val="03092085"/>
    <w:rsid w:val="030A5950"/>
    <w:rsid w:val="04431F85"/>
    <w:rsid w:val="0466121E"/>
    <w:rsid w:val="05040FB4"/>
    <w:rsid w:val="050D7399"/>
    <w:rsid w:val="087D7F38"/>
    <w:rsid w:val="08DE04B3"/>
    <w:rsid w:val="0A3E37D4"/>
    <w:rsid w:val="0A547FB4"/>
    <w:rsid w:val="0A886720"/>
    <w:rsid w:val="0DE63E89"/>
    <w:rsid w:val="0EB60AB2"/>
    <w:rsid w:val="0F816617"/>
    <w:rsid w:val="0F9067A2"/>
    <w:rsid w:val="1032561E"/>
    <w:rsid w:val="10EF74F9"/>
    <w:rsid w:val="11424415"/>
    <w:rsid w:val="139F36F0"/>
    <w:rsid w:val="15806B32"/>
    <w:rsid w:val="16AC081D"/>
    <w:rsid w:val="17BB03EC"/>
    <w:rsid w:val="19CE1207"/>
    <w:rsid w:val="1B304732"/>
    <w:rsid w:val="1C37489E"/>
    <w:rsid w:val="1C8F133F"/>
    <w:rsid w:val="1D92546A"/>
    <w:rsid w:val="1DC62C7A"/>
    <w:rsid w:val="1DDA6280"/>
    <w:rsid w:val="1E3E6240"/>
    <w:rsid w:val="1E6908EA"/>
    <w:rsid w:val="1E84183C"/>
    <w:rsid w:val="1F4E188E"/>
    <w:rsid w:val="2163507E"/>
    <w:rsid w:val="22733F26"/>
    <w:rsid w:val="22A01F0E"/>
    <w:rsid w:val="236E0CE7"/>
    <w:rsid w:val="23866721"/>
    <w:rsid w:val="23B4085A"/>
    <w:rsid w:val="24351736"/>
    <w:rsid w:val="246B0F38"/>
    <w:rsid w:val="255F2A47"/>
    <w:rsid w:val="25DB3A00"/>
    <w:rsid w:val="26272596"/>
    <w:rsid w:val="27BF3F2A"/>
    <w:rsid w:val="28C47A9D"/>
    <w:rsid w:val="29557225"/>
    <w:rsid w:val="2A790107"/>
    <w:rsid w:val="2A9D2091"/>
    <w:rsid w:val="2C39690E"/>
    <w:rsid w:val="2C8B4122"/>
    <w:rsid w:val="2D65658A"/>
    <w:rsid w:val="2D703A18"/>
    <w:rsid w:val="30027BE8"/>
    <w:rsid w:val="31A733A7"/>
    <w:rsid w:val="326F2009"/>
    <w:rsid w:val="32867865"/>
    <w:rsid w:val="33080E73"/>
    <w:rsid w:val="33182487"/>
    <w:rsid w:val="33E10ACB"/>
    <w:rsid w:val="36C070BE"/>
    <w:rsid w:val="37147A4E"/>
    <w:rsid w:val="392E4761"/>
    <w:rsid w:val="39753872"/>
    <w:rsid w:val="3BAA1601"/>
    <w:rsid w:val="3CF96B37"/>
    <w:rsid w:val="3E324F16"/>
    <w:rsid w:val="3F272DF1"/>
    <w:rsid w:val="3F2E7738"/>
    <w:rsid w:val="3F460455"/>
    <w:rsid w:val="40134B17"/>
    <w:rsid w:val="40692863"/>
    <w:rsid w:val="4481197F"/>
    <w:rsid w:val="49142964"/>
    <w:rsid w:val="49615ED4"/>
    <w:rsid w:val="4AA67DEA"/>
    <w:rsid w:val="4AFF47E8"/>
    <w:rsid w:val="4B6B3A78"/>
    <w:rsid w:val="4D4065FD"/>
    <w:rsid w:val="4EF74DC6"/>
    <w:rsid w:val="523D15BE"/>
    <w:rsid w:val="52AB44A9"/>
    <w:rsid w:val="52B21B59"/>
    <w:rsid w:val="53536E98"/>
    <w:rsid w:val="53B61F77"/>
    <w:rsid w:val="55CA2488"/>
    <w:rsid w:val="569D042A"/>
    <w:rsid w:val="56A874FB"/>
    <w:rsid w:val="56E82CCA"/>
    <w:rsid w:val="579074F5"/>
    <w:rsid w:val="59182B5D"/>
    <w:rsid w:val="59CA3C2C"/>
    <w:rsid w:val="5BD502B8"/>
    <w:rsid w:val="5C35267E"/>
    <w:rsid w:val="5CA67033"/>
    <w:rsid w:val="5DB27673"/>
    <w:rsid w:val="5DDB792E"/>
    <w:rsid w:val="5E583BDE"/>
    <w:rsid w:val="5E84421D"/>
    <w:rsid w:val="5EB57243"/>
    <w:rsid w:val="617072CA"/>
    <w:rsid w:val="636053FC"/>
    <w:rsid w:val="66442F42"/>
    <w:rsid w:val="682A7330"/>
    <w:rsid w:val="68923621"/>
    <w:rsid w:val="6A9E1186"/>
    <w:rsid w:val="6B402E01"/>
    <w:rsid w:val="6E804F66"/>
    <w:rsid w:val="6ECA621D"/>
    <w:rsid w:val="6F4162E7"/>
    <w:rsid w:val="6FB9324C"/>
    <w:rsid w:val="702532F1"/>
    <w:rsid w:val="7306762B"/>
    <w:rsid w:val="756E3266"/>
    <w:rsid w:val="76676FDD"/>
    <w:rsid w:val="772D6E8E"/>
    <w:rsid w:val="7A4822D7"/>
    <w:rsid w:val="7EB2092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character" w:styleId="8">
    <w:name w:val="Hyperlink"/>
    <w:basedOn w:val="7"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customStyle="1" w:styleId="9">
    <w:name w:val="页眉 Char"/>
    <w:basedOn w:val="7"/>
    <w:link w:val="4"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3"/>
    <w:qFormat/>
    <w:uiPriority w:val="99"/>
    <w:rPr>
      <w:sz w:val="18"/>
      <w:szCs w:val="18"/>
    </w:rPr>
  </w:style>
  <w:style w:type="character" w:customStyle="1" w:styleId="11">
    <w:name w:val="NormalCharacter"/>
    <w:qFormat/>
    <w:uiPriority w:val="0"/>
  </w:style>
  <w:style w:type="character" w:customStyle="1" w:styleId="12">
    <w:name w:val="批注框文本 Char"/>
    <w:basedOn w:val="7"/>
    <w:link w:val="2"/>
    <w:semiHidden/>
    <w:qFormat/>
    <w:uiPriority w:val="99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customXml" Target="ink/ink1.xml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customXml" Target="../customXml/item1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units="cm"/>
          <inkml:channel name="Y" type="integer" units="cm"/>
          <inkml:channel name="F" type="integer" max="1023" units="dev"/>
        </inkml:traceFormat>
        <inkml:channelProperties>
          <inkml:channelProperty channel="X" name="resolution" value="28.3464566929134" units="1/cm"/>
          <inkml:channelProperty channel="Y" name="resolution" value="28.3464566929134" units="1/cm"/>
          <inkml:channelProperty channel="F" name="resolution" value="0" units="1/dev"/>
        </inkml:channelProperties>
      </inkml:inkSource>
      <inkml:timestamp xml:id="ts0" timeString="2025-09-11T09:30:32"/>
    </inkml:context>
    <inkml:brush xml:id="br0">
      <inkml:brushProperty name="width" value="0.0529194456206428" units="cm"/>
      <inkml:brushProperty name="height" value="0.0529194456206428" units="cm"/>
      <inkml:brushProperty name="color" value="#f80600"/>
      <inkml:brushProperty name="ignorePressure" value="0"/>
    </inkml:brush>
  </inkml:definitions>
  <inkml:trace contextRef="#ctx0" brushRef="#br0">28437.000 18516.000 767</inkml:trace>
</inkml:ink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9</Pages>
  <Words>387</Words>
  <Characters>472</Characters>
  <Lines>4</Lines>
  <Paragraphs>1</Paragraphs>
  <TotalTime>61</TotalTime>
  <ScaleCrop>false</ScaleCrop>
  <LinksUpToDate>false</LinksUpToDate>
  <CharactersWithSpaces>472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2025-02-26T04:33:00Z</dcterms:created>
  <dc:creator>fengqunran</dc:creator>
  <cp:lastModifiedBy>张彦霞</cp:lastModifiedBy>
  <dcterms:modified xsi:type="dcterms:W3CDTF">2025-09-15T07:25:44Z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F10153F636E74D629E0552934CC6D91F_13</vt:lpwstr>
  </property>
  <property fmtid="{D5CDD505-2E9C-101B-9397-08002B2CF9AE}" pid="4" name="KSOTemplateDocerSaveRecord">
    <vt:lpwstr>eyJoZGlkIjoiZTJmMGI5YjA5YmZhZTgzNGQ0YjdiMmZlMzI1MjBhNjYiLCJ1c2VySWQiOiIzOTg4MDQ4NDYifQ==</vt:lpwstr>
  </property>
</Properties>
</file>