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C37B0B">
      <w:pPr>
        <w:spacing w:before="79" w:line="221" w:lineRule="auto"/>
        <w:jc w:val="center"/>
        <w:outlineLvl w:val="0"/>
        <w:rPr>
          <w:rFonts w:ascii="宋体" w:hAnsi="宋体" w:eastAsia="宋体" w:cs="宋体"/>
          <w:sz w:val="40"/>
          <w:szCs w:val="40"/>
        </w:rPr>
      </w:pPr>
      <w:r>
        <w:rPr>
          <w:rFonts w:hint="eastAsia" w:ascii="宋体" w:hAnsi="宋体" w:eastAsia="宋体" w:cs="宋体"/>
          <w:b/>
          <w:bCs/>
          <w:spacing w:val="-4"/>
          <w:sz w:val="40"/>
          <w:szCs w:val="40"/>
          <w:lang w:val="en-US" w:eastAsia="zh-CN"/>
        </w:rPr>
        <w:t>官庄工区翰林相苑</w:t>
      </w:r>
      <w:r>
        <w:rPr>
          <w:rFonts w:ascii="宋体" w:hAnsi="宋体" w:eastAsia="宋体" w:cs="宋体"/>
          <w:b/>
          <w:bCs/>
          <w:spacing w:val="-4"/>
          <w:sz w:val="40"/>
          <w:szCs w:val="40"/>
        </w:rPr>
        <w:t>建设工程</w:t>
      </w:r>
      <w:bookmarkStart w:id="0" w:name="_GoBack"/>
      <w:bookmarkEnd w:id="0"/>
      <w:r>
        <w:rPr>
          <w:rFonts w:ascii="宋体" w:hAnsi="宋体" w:eastAsia="宋体" w:cs="宋体"/>
          <w:b/>
          <w:bCs/>
          <w:spacing w:val="-4"/>
          <w:sz w:val="40"/>
          <w:szCs w:val="40"/>
        </w:rPr>
        <w:t>设计方案批前公示</w:t>
      </w:r>
    </w:p>
    <w:p w14:paraId="42D2BBC9">
      <w:pPr>
        <w:spacing w:line="35" w:lineRule="exact"/>
      </w:pPr>
    </w:p>
    <w:tbl>
      <w:tblPr>
        <w:tblStyle w:val="4"/>
        <w:tblW w:w="1573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836"/>
        <w:gridCol w:w="7895"/>
      </w:tblGrid>
      <w:tr w14:paraId="557ECD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978" w:hRule="atLeast"/>
        </w:trPr>
        <w:tc>
          <w:tcPr>
            <w:tcW w:w="7836" w:type="dxa"/>
            <w:tcBorders>
              <w:bottom w:val="nil"/>
            </w:tcBorders>
            <w:vAlign w:val="top"/>
          </w:tcPr>
          <w:p w14:paraId="6D204C30">
            <w:pPr>
              <w:spacing w:before="10" w:line="4958" w:lineRule="exact"/>
              <w:ind w:firstLine="107"/>
            </w:pPr>
            <w:r>
              <w:rPr>
                <w:position w:val="-99"/>
              </w:rPr>
              <w:drawing>
                <wp:inline distT="0" distB="0" distL="0" distR="0">
                  <wp:extent cx="4888865" cy="3148330"/>
                  <wp:effectExtent l="0" t="0" r="6985" b="13970"/>
                  <wp:docPr id="2" name="IM 2" descr="E:/工作/2025/马主任/翰林相苑/方案/鸟瞰图.png鸟瞰图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 2" descr="E:/工作/2025/马主任/翰林相苑/方案/鸟瞰图.png鸟瞰图"/>
                          <pic:cNvPicPr/>
                        </pic:nvPicPr>
                        <pic:blipFill>
                          <a:blip r:embed="rId6"/>
                          <a:srcRect t="5001" b="50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8865" cy="314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5" w:type="dxa"/>
            <w:tcBorders>
              <w:bottom w:val="nil"/>
            </w:tcBorders>
            <w:vAlign w:val="top"/>
          </w:tcPr>
          <w:p w14:paraId="21038842">
            <w:pPr>
              <w:spacing w:before="10" w:line="4958" w:lineRule="exact"/>
              <w:jc w:val="center"/>
            </w:pPr>
            <w:r>
              <w:rPr>
                <w:position w:val="-99"/>
              </w:rPr>
              <w:drawing>
                <wp:inline distT="0" distB="0" distL="0" distR="0">
                  <wp:extent cx="4572000" cy="3166110"/>
                  <wp:effectExtent l="0" t="0" r="0" b="0"/>
                  <wp:docPr id="4" name="IM 4" descr="E:/工作/2025/马主任/翰林相苑/方案/总平面图.png总平面图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 4" descr="E:/工作/2025/马主任/翰林相苑/方案/总平面图.png总平面图"/>
                          <pic:cNvPicPr/>
                        </pic:nvPicPr>
                        <pic:blipFill>
                          <a:blip r:embed="rId7"/>
                          <a:srcRect l="3623" t="4783" r="3546" b="4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16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E307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8" w:hRule="atLeast"/>
        </w:trPr>
        <w:tc>
          <w:tcPr>
            <w:tcW w:w="7836" w:type="dxa"/>
            <w:tcBorders>
              <w:top w:val="nil"/>
            </w:tcBorders>
            <w:vAlign w:val="top"/>
          </w:tcPr>
          <w:p w14:paraId="00BB3F14">
            <w:pPr>
              <w:spacing w:line="288" w:lineRule="auto"/>
              <w:rPr>
                <w:rFonts w:ascii="Arial"/>
                <w:sz w:val="21"/>
              </w:rPr>
            </w:pPr>
          </w:p>
          <w:p w14:paraId="594D7DE7">
            <w:pPr>
              <w:pStyle w:val="5"/>
              <w:spacing w:before="78" w:line="221" w:lineRule="auto"/>
              <w:ind w:left="3569"/>
              <w:rPr>
                <w:sz w:val="24"/>
                <w:szCs w:val="24"/>
              </w:rPr>
            </w:pPr>
            <w:r>
              <w:rPr>
                <w:b/>
                <w:bCs/>
                <w:spacing w:val="-7"/>
                <w:sz w:val="24"/>
                <w:szCs w:val="24"/>
              </w:rPr>
              <w:t>效果图</w:t>
            </w:r>
          </w:p>
        </w:tc>
        <w:tc>
          <w:tcPr>
            <w:tcW w:w="7895" w:type="dxa"/>
            <w:tcBorders>
              <w:top w:val="nil"/>
            </w:tcBorders>
            <w:vAlign w:val="top"/>
          </w:tcPr>
          <w:p w14:paraId="5D26425A">
            <w:pPr>
              <w:spacing w:line="288" w:lineRule="auto"/>
              <w:rPr>
                <w:rFonts w:ascii="Arial"/>
                <w:sz w:val="21"/>
              </w:rPr>
            </w:pPr>
          </w:p>
          <w:p w14:paraId="16D57BFB">
            <w:pPr>
              <w:pStyle w:val="5"/>
              <w:spacing w:before="78" w:line="222" w:lineRule="auto"/>
              <w:ind w:left="3473"/>
              <w:rPr>
                <w:sz w:val="24"/>
                <w:szCs w:val="24"/>
              </w:rPr>
            </w:pPr>
            <w:r>
              <w:rPr>
                <w:b/>
                <w:bCs/>
                <w:spacing w:val="-5"/>
                <w:sz w:val="24"/>
                <w:szCs w:val="24"/>
              </w:rPr>
              <w:t>总平面图</w:t>
            </w:r>
          </w:p>
        </w:tc>
      </w:tr>
      <w:tr w14:paraId="100170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4" w:hRule="atLeast"/>
        </w:trPr>
        <w:tc>
          <w:tcPr>
            <w:tcW w:w="7836" w:type="dxa"/>
            <w:vAlign w:val="top"/>
          </w:tcPr>
          <w:p w14:paraId="68EF5357">
            <w:pPr>
              <w:spacing w:line="288" w:lineRule="auto"/>
              <w:rPr>
                <w:rFonts w:ascii="Arial"/>
                <w:sz w:val="21"/>
              </w:rPr>
            </w:pPr>
          </w:p>
          <w:p w14:paraId="7C597ECE">
            <w:pPr>
              <w:pStyle w:val="5"/>
              <w:spacing w:before="72" w:line="219" w:lineRule="auto"/>
              <w:ind w:left="562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3"/>
              </w:rPr>
              <w:t>公示单位:南阳市自然资源和规划局</w:t>
            </w:r>
          </w:p>
          <w:p w14:paraId="7F6A40A5">
            <w:pPr>
              <w:pStyle w:val="5"/>
              <w:spacing w:before="50" w:line="221" w:lineRule="auto"/>
              <w:ind w:left="558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3"/>
              </w:rPr>
              <w:t>建设单位:</w:t>
            </w:r>
            <w:r>
              <w:rPr>
                <w:rFonts w:hint="eastAsia" w:ascii="宋体" w:hAnsi="宋体" w:eastAsia="宋体" w:cs="宋体"/>
                <w:b/>
                <w:bCs/>
                <w:spacing w:val="-3"/>
                <w:lang w:val="en-US" w:eastAsia="zh-CN"/>
              </w:rPr>
              <w:t>南阳市博创置业有限公司</w:t>
            </w:r>
          </w:p>
          <w:p w14:paraId="642B9766">
            <w:pPr>
              <w:pStyle w:val="5"/>
              <w:spacing w:before="48" w:line="221" w:lineRule="auto"/>
              <w:ind w:left="562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10"/>
              </w:rPr>
              <w:t>公示时间:2026</w:t>
            </w:r>
            <w:r>
              <w:rPr>
                <w:rFonts w:hint="eastAsia" w:ascii="宋体" w:hAnsi="宋体" w:eastAsia="宋体" w:cs="宋体"/>
                <w:spacing w:val="-45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pacing w:val="-10"/>
              </w:rPr>
              <w:t>年</w:t>
            </w:r>
            <w:r>
              <w:rPr>
                <w:rFonts w:hint="eastAsia" w:ascii="宋体" w:hAnsi="宋体" w:eastAsia="宋体" w:cs="宋体"/>
                <w:spacing w:val="-30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pacing w:val="-10"/>
              </w:rPr>
              <w:t>1</w:t>
            </w:r>
            <w:r>
              <w:rPr>
                <w:rFonts w:hint="eastAsia" w:ascii="宋体" w:hAnsi="宋体" w:eastAsia="宋体" w:cs="宋体"/>
                <w:spacing w:val="-41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pacing w:val="-10"/>
              </w:rPr>
              <w:t>月</w:t>
            </w:r>
            <w:r>
              <w:rPr>
                <w:rFonts w:hint="eastAsia" w:ascii="宋体" w:hAnsi="宋体" w:eastAsia="宋体" w:cs="宋体"/>
                <w:spacing w:val="-42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pacing w:val="-10"/>
              </w:rPr>
              <w:t>5</w:t>
            </w:r>
            <w:r>
              <w:rPr>
                <w:rFonts w:hint="eastAsia" w:ascii="宋体" w:hAnsi="宋体" w:eastAsia="宋体" w:cs="宋体"/>
                <w:spacing w:val="-10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pacing w:val="-10"/>
              </w:rPr>
              <w:t>日起-1</w:t>
            </w:r>
            <w:r>
              <w:rPr>
                <w:rFonts w:hint="eastAsia" w:ascii="宋体" w:hAnsi="宋体" w:eastAsia="宋体" w:cs="宋体"/>
                <w:spacing w:val="-43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pacing w:val="-10"/>
              </w:rPr>
              <w:t>月</w:t>
            </w:r>
            <w:r>
              <w:rPr>
                <w:rFonts w:hint="eastAsia" w:ascii="宋体" w:hAnsi="宋体" w:eastAsia="宋体" w:cs="宋体"/>
                <w:spacing w:val="-44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pacing w:val="-10"/>
              </w:rPr>
              <w:t>20</w:t>
            </w:r>
            <w:r>
              <w:rPr>
                <w:rFonts w:hint="eastAsia" w:ascii="宋体" w:hAnsi="宋体" w:eastAsia="宋体" w:cs="宋体"/>
                <w:spacing w:val="-11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pacing w:val="-11"/>
              </w:rPr>
              <w:t>日止</w:t>
            </w:r>
          </w:p>
          <w:p w14:paraId="422B8C35">
            <w:pPr>
              <w:pStyle w:val="5"/>
              <w:spacing w:before="48" w:line="220" w:lineRule="auto"/>
              <w:ind w:left="555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2"/>
              </w:rPr>
              <w:t>信访举报:0377-63108362</w:t>
            </w:r>
          </w:p>
          <w:p w14:paraId="3EA4287C">
            <w:pPr>
              <w:pStyle w:val="5"/>
              <w:spacing w:before="49" w:line="223" w:lineRule="auto"/>
              <w:ind w:left="567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3"/>
              </w:rPr>
              <w:t>听证受理:0377-63176729</w:t>
            </w:r>
          </w:p>
          <w:p w14:paraId="47508728">
            <w:pPr>
              <w:pStyle w:val="5"/>
              <w:spacing w:before="46" w:line="221" w:lineRule="auto"/>
              <w:ind w:left="554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2"/>
              </w:rPr>
              <w:t>业务咨询:0377-63188893</w:t>
            </w:r>
          </w:p>
          <w:p w14:paraId="4B9A82D5">
            <w:pPr>
              <w:pStyle w:val="5"/>
              <w:spacing w:before="49" w:line="262" w:lineRule="auto"/>
              <w:ind w:left="121" w:right="42" w:firstLine="434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3"/>
              </w:rPr>
              <w:t>利害关系人如有异议，可在公示期内向我局提出信访意见或</w:t>
            </w:r>
            <w:r>
              <w:rPr>
                <w:rFonts w:hint="eastAsia" w:ascii="宋体" w:hAnsi="宋体" w:eastAsia="宋体" w:cs="宋体"/>
                <w:b/>
                <w:bCs/>
                <w:spacing w:val="-4"/>
              </w:rPr>
              <w:t>提出听证要求，</w:t>
            </w:r>
            <w:r>
              <w:rPr>
                <w:rFonts w:hint="eastAsia" w:ascii="宋体" w:hAnsi="宋体" w:eastAsia="宋体" w:cs="宋体"/>
                <w:b/>
                <w:bCs/>
                <w:spacing w:val="-2"/>
              </w:rPr>
              <w:t>并说明理由。逾期不提出的，视为放弃申请听证权</w:t>
            </w:r>
            <w:r>
              <w:rPr>
                <w:rFonts w:hint="eastAsia" w:ascii="宋体" w:hAnsi="宋体" w:eastAsia="宋体" w:cs="宋体"/>
                <w:b/>
                <w:bCs/>
                <w:spacing w:val="-3"/>
              </w:rPr>
              <w:t>利。</w:t>
            </w:r>
          </w:p>
          <w:p w14:paraId="3DC130BB">
            <w:pPr>
              <w:pStyle w:val="5"/>
              <w:spacing w:line="219" w:lineRule="auto"/>
              <w:ind w:left="58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3"/>
              </w:rPr>
              <w:t>以上内容可同步查询南阳市白然资源和规划局网站</w:t>
            </w:r>
          </w:p>
          <w:p w14:paraId="465548EF">
            <w:pPr>
              <w:pStyle w:val="5"/>
              <w:spacing w:before="51" w:line="215" w:lineRule="auto"/>
              <w:ind w:left="553"/>
            </w:pPr>
            <w:r>
              <w:rPr>
                <w:rFonts w:hint="eastAsia" w:ascii="宋体" w:hAnsi="宋体" w:eastAsia="宋体" w:cs="宋体"/>
              </w:rPr>
              <w:fldChar w:fldCharType="begin"/>
            </w:r>
            <w:r>
              <w:rPr>
                <w:rFonts w:hint="eastAsia" w:ascii="宋体" w:hAnsi="宋体" w:eastAsia="宋体" w:cs="宋体"/>
              </w:rPr>
              <w:instrText xml:space="preserve"> HYPERLINK "http://nygtzy.nanyang.gov.cn" </w:instrText>
            </w:r>
            <w:r>
              <w:rPr>
                <w:rFonts w:hint="eastAsia" w:ascii="宋体" w:hAnsi="宋体" w:eastAsia="宋体" w:cs="宋体"/>
              </w:rPr>
              <w:fldChar w:fldCharType="separate"/>
            </w:r>
            <w:r>
              <w:rPr>
                <w:rFonts w:hint="eastAsia" w:ascii="宋体" w:hAnsi="宋体" w:eastAsia="宋体" w:cs="宋体"/>
                <w:b/>
                <w:bCs/>
                <w:spacing w:val="-2"/>
              </w:rPr>
              <w:t>http://nygtzy.</w:t>
            </w:r>
            <w:r>
              <w:rPr>
                <w:rFonts w:hint="eastAsia" w:ascii="宋体" w:hAnsi="宋体" w:eastAsia="宋体" w:cs="宋体"/>
                <w:spacing w:val="-2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pacing w:val="-2"/>
              </w:rPr>
              <w:t>nanyang.gov.cn</w:t>
            </w:r>
            <w:r>
              <w:rPr>
                <w:rFonts w:hint="eastAsia" w:ascii="宋体" w:hAnsi="宋体" w:eastAsia="宋体" w:cs="宋体"/>
                <w:b/>
                <w:bCs/>
                <w:spacing w:val="-2"/>
              </w:rPr>
              <w:fldChar w:fldCharType="end"/>
            </w:r>
          </w:p>
        </w:tc>
        <w:tc>
          <w:tcPr>
            <w:tcW w:w="7895" w:type="dxa"/>
            <w:vAlign w:val="top"/>
          </w:tcPr>
          <w:p w14:paraId="71F78D09">
            <w:pPr>
              <w:spacing w:line="287" w:lineRule="auto"/>
              <w:rPr>
                <w:rFonts w:ascii="Arial"/>
                <w:sz w:val="21"/>
                <w:szCs w:val="21"/>
              </w:rPr>
            </w:pPr>
          </w:p>
          <w:p w14:paraId="4B312C1E">
            <w:pPr>
              <w:pStyle w:val="5"/>
              <w:spacing w:before="72" w:line="221" w:lineRule="auto"/>
              <w:ind w:left="556"/>
              <w:jc w:val="both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22"/>
                <w:szCs w:val="22"/>
              </w:rPr>
              <w:t>一、项目概况：</w:t>
            </w:r>
          </w:p>
          <w:p w14:paraId="3BCC4014">
            <w:pPr>
              <w:pStyle w:val="5"/>
              <w:spacing w:before="51"/>
              <w:ind w:left="115" w:right="28" w:firstLine="453"/>
              <w:jc w:val="both"/>
              <w:rPr>
                <w:rFonts w:hint="eastAsia" w:ascii="宋体" w:hAnsi="宋体" w:eastAsia="宋体" w:cs="宋体"/>
                <w:b/>
                <w:bCs/>
                <w:spacing w:val="-8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8"/>
                <w:sz w:val="22"/>
                <w:szCs w:val="22"/>
                <w:lang w:val="en-US" w:eastAsia="zh-CN"/>
              </w:rPr>
              <w:t>项目为官庄工区翰林相苑。位于南阳市官庄工区官庄工区大庆路以南、恒山路以东区域。总用地面积21641.84平方米，折32.463亩，实用地面积19915.03平方米，折29.873亩，代征道路面积1726.81平方米，折2.590亩。规划总占地面积5556.7 平方米，总建筑面积69896.1平方米，总计容建筑面积56899.3平方米。</w:t>
            </w:r>
          </w:p>
          <w:p w14:paraId="18ADF1D9">
            <w:pPr>
              <w:pStyle w:val="5"/>
              <w:spacing w:line="217" w:lineRule="auto"/>
              <w:ind w:left="556"/>
              <w:jc w:val="both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4"/>
                <w:sz w:val="22"/>
                <w:szCs w:val="22"/>
              </w:rPr>
              <w:t>二、实施要求</w:t>
            </w:r>
          </w:p>
          <w:p w14:paraId="00C217AE">
            <w:pPr>
              <w:pStyle w:val="5"/>
              <w:spacing w:before="51"/>
              <w:ind w:left="115" w:right="28" w:firstLine="453"/>
              <w:jc w:val="both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8"/>
                <w:sz w:val="22"/>
                <w:szCs w:val="22"/>
              </w:rPr>
              <w:t>1.项目规划建设必须服从法律法规的规定和规划调整，必须遵守文物、环境、</w:t>
            </w:r>
            <w:r>
              <w:rPr>
                <w:rFonts w:hint="eastAsia" w:ascii="宋体" w:hAnsi="宋体" w:eastAsia="宋体" w:cs="宋体"/>
                <w:b/>
                <w:bCs/>
                <w:spacing w:val="-2"/>
                <w:sz w:val="22"/>
                <w:szCs w:val="22"/>
              </w:rPr>
              <w:t>人防、地震、消防等部门的有关规定，否则不得实</w:t>
            </w:r>
          </w:p>
          <w:p w14:paraId="40C89B9B">
            <w:pPr>
              <w:pStyle w:val="5"/>
              <w:spacing w:before="53" w:line="220" w:lineRule="auto"/>
              <w:ind w:left="556"/>
              <w:jc w:val="both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2"/>
                <w:sz w:val="22"/>
                <w:szCs w:val="22"/>
              </w:rPr>
              <w:t>2.该项目应严格遵守规划条件，按照规定程序办理规划用地及建设手续。</w:t>
            </w:r>
          </w:p>
          <w:p w14:paraId="5ADA40DA">
            <w:pPr>
              <w:pStyle w:val="5"/>
              <w:spacing w:before="50" w:line="220" w:lineRule="auto"/>
              <w:ind w:left="557"/>
              <w:jc w:val="both"/>
            </w:pPr>
            <w:r>
              <w:rPr>
                <w:rFonts w:hint="eastAsia" w:ascii="宋体" w:hAnsi="宋体" w:eastAsia="宋体" w:cs="宋体"/>
                <w:b/>
                <w:bCs/>
                <w:spacing w:val="-3"/>
                <w:sz w:val="22"/>
                <w:szCs w:val="22"/>
              </w:rPr>
              <w:t>3.建筑规划设计必须满足消防设计各项要求。</w:t>
            </w:r>
          </w:p>
        </w:tc>
      </w:tr>
    </w:tbl>
    <w:p w14:paraId="522864D4">
      <w:pPr>
        <w:rPr>
          <w:rFonts w:ascii="Arial"/>
          <w:sz w:val="21"/>
        </w:rPr>
      </w:pPr>
    </w:p>
    <w:sectPr>
      <w:pgSz w:w="16839" w:h="11906"/>
      <w:pgMar w:top="807" w:right="607" w:bottom="0" w:left="494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compatSetting w:name="compatibilityMode" w:uri="http://schemas.microsoft.com/office/word" w:val="14"/>
  </w:compat>
  <w:rsids>
    <w:rsidRoot w:val="00000000"/>
    <w:rsid w:val="3E8C45D9"/>
    <w:rsid w:val="5328665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5">
    <w:name w:val="Table Text"/>
    <w:basedOn w:val="1"/>
    <w:semiHidden/>
    <w:qFormat/>
    <w:uiPriority w:val="0"/>
    <w:rPr>
      <w:rFonts w:ascii="新宋体" w:hAnsi="新宋体" w:eastAsia="新宋体" w:cs="新宋体"/>
      <w:sz w:val="22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397</Words>
  <Characters>507</Characters>
  <TotalTime>3</TotalTime>
  <ScaleCrop>false</ScaleCrop>
  <LinksUpToDate>false</LinksUpToDate>
  <CharactersWithSpaces>516</CharactersWithSpaces>
  <Application>WPS Office_12.1.0.24657_F1E327BC-269C-435d-A152-05C5408002CA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2026-01-26T11:49:00Z</dcterms:created>
  <dc:creator>阳13525151668</dc:creator>
  <cp:lastModifiedBy>Stone</cp:lastModifiedBy>
  <dcterms:modified xsi:type="dcterms:W3CDTF">2026-01-28T02:59:25Z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2026-01-28T10:41:32Z</vt:filetime>
  </property>
  <property fmtid="{D5CDD505-2E9C-101B-9397-08002B2CF9AE}" pid="4" name="KSOTemplateDocerSaveRecord">
    <vt:lpwstr>eyJoZGlkIjoiMTY5YjNiZmRlNDY5YjFiNzc2Mjc0MWUzMTdjMzIwYTYiLCJ1c2VySWQiOiIyNTAzOTU1ODMifQ==</vt:lpwstr>
  </property>
  <property fmtid="{D5CDD505-2E9C-101B-9397-08002B2CF9AE}" pid="5" name="KSOProductBuildVer">
    <vt:lpwstr>2052-12.1.0.24657</vt:lpwstr>
  </property>
  <property fmtid="{D5CDD505-2E9C-101B-9397-08002B2CF9AE}" pid="6" name="ICV">
    <vt:lpwstr>F3AA081D091A478FB64D911B8C78D3F5_13</vt:lpwstr>
  </property>
</Properties>
</file>